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bookmarkStart w:id="0" w:name="_GoBack"/>
      <w:bookmarkEnd w:id="0"/>
      <w:r>
        <w:rPr>
          <w:rStyle w:val="6"/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财政部 税务总局关于明确增值税小规模纳税人免征增值税政策的公告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财政部 税务总局公告2021年第11号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为进一步支持小微企业发展，现将增值税小规模纳税人免征增值税政策公告如下：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自2021年4月1日至2022年12月31日，对月销售额15万元以下（含本数）的增值税小规模纳税人，免征增值税。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《财政部 税务总局关于实施小微企业普惠性税收减免政策的通知》（财税〔2019〕13号）第一条同时废止。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特此公告。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财政部 税务总局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645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2021年3月31日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24C37"/>
    <w:rsid w:val="0B5E0525"/>
    <w:rsid w:val="1BF3CBF1"/>
    <w:rsid w:val="2F7F1B7D"/>
    <w:rsid w:val="60C2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z w:val="4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2022-03-20T20:46:00Z</dcterms:created>
  <dc:creator>小鹿不认路</dc:creator>
  <cp:lastModifiedBy>sugon</cp:lastModifiedBy>
  <dcterms:modified xsi:type="dcterms:W3CDTF">2022-03-21T10:22:35Z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10AB5C35FCA44D94A3F670CE69A2C7BE</vt:lpwstr>
  </property>
</Properties>
</file>